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Fonts w:hint="eastAsia" w:ascii="宋体" w:hAnsi="宋体" w:eastAsia="宋体" w:cs="宋体"/>
          <w:b/>
          <w:bCs/>
          <w:i w:val="0"/>
          <w:iCs w:val="0"/>
          <w:caps w:val="0"/>
          <w:color w:val="333333"/>
          <w:spacing w:val="0"/>
          <w:sz w:val="24"/>
          <w:szCs w:val="24"/>
          <w:bdr w:val="none" w:color="auto" w:sz="0" w:space="0"/>
          <w:shd w:val="clear" w:fill="FFFFFF"/>
        </w:rPr>
        <w:t>302</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现公布《国务院关于特大安全事故行政责任追究的规定》，自公布之日起施行。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朱镕基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二○○一年四月二十一日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国务院关于特大安全事故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行政责任追究的规定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　</w:t>
      </w:r>
      <w:r>
        <w:rPr>
          <w:rFonts w:hint="eastAsia" w:ascii="宋体" w:hAnsi="宋体" w:eastAsia="宋体" w:cs="宋体"/>
          <w:i w:val="0"/>
          <w:iCs w:val="0"/>
          <w:caps w:val="0"/>
          <w:color w:val="333333"/>
          <w:spacing w:val="0"/>
          <w:sz w:val="24"/>
          <w:szCs w:val="24"/>
          <w:bdr w:val="none" w:color="auto" w:sz="0" w:space="0"/>
          <w:shd w:val="clear" w:fill="FFFFFF"/>
        </w:rPr>
        <w:t>为了有效地防范特大安全事故的发生，严肃追究特大安全事故的行政责任，保障人民群众生命、财产安全，制定本规定。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(一)特大火灾事故；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(二)特大交通安全事故；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(三)特大建筑质量安全事故；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(四)民用爆炸物品和化学危险品特大安全事故；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(五)煤矿和其他矿山特大安全事故；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(六)锅炉、压力容器、压力管道和特种设备特大安全事故；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(七)其他特大安全事故。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地方人民政府和政府有关部门对特大安全事故的防范、发生直接负责的主管人员和其他直接责任人员，比照本规定给予行政处分；构成玩忽职守罪或者其他罪的，依法追究刑事责任。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特大安全事故肇事单位和个人的刑事处罚、行政处罚和民事责任，依照有关法律、法规和规章的规定执行。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　</w:t>
      </w:r>
      <w:r>
        <w:rPr>
          <w:rFonts w:hint="eastAsia" w:ascii="宋体" w:hAnsi="宋体" w:eastAsia="宋体" w:cs="宋体"/>
          <w:i w:val="0"/>
          <w:iCs w:val="0"/>
          <w:caps w:val="0"/>
          <w:color w:val="333333"/>
          <w:spacing w:val="0"/>
          <w:sz w:val="24"/>
          <w:szCs w:val="24"/>
          <w:bdr w:val="none" w:color="auto" w:sz="0" w:space="0"/>
          <w:shd w:val="clear" w:fill="FFFFFF"/>
        </w:rPr>
        <w:t>特大安全事故的具体标准，按照国家有关规定执行。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　</w:t>
      </w:r>
      <w:r>
        <w:rPr>
          <w:rFonts w:hint="eastAsia" w:ascii="宋体" w:hAnsi="宋体" w:eastAsia="宋体" w:cs="宋体"/>
          <w:i w:val="0"/>
          <w:iCs w:val="0"/>
          <w:caps w:val="0"/>
          <w:color w:val="333333"/>
          <w:spacing w:val="0"/>
          <w:sz w:val="24"/>
          <w:szCs w:val="24"/>
          <w:bdr w:val="none" w:color="auto" w:sz="0" w:space="0"/>
          <w:shd w:val="clear" w:fill="FFFFFF"/>
        </w:rPr>
        <w:t>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　</w:t>
      </w:r>
      <w:r>
        <w:rPr>
          <w:rFonts w:hint="eastAsia" w:ascii="宋体" w:hAnsi="宋体" w:eastAsia="宋体" w:cs="宋体"/>
          <w:i w:val="0"/>
          <w:iCs w:val="0"/>
          <w:caps w:val="0"/>
          <w:color w:val="333333"/>
          <w:spacing w:val="0"/>
          <w:sz w:val="24"/>
          <w:szCs w:val="24"/>
          <w:bdr w:val="none" w:color="auto" w:sz="0" w:space="0"/>
          <w:shd w:val="clear" w:fill="FFFFFF"/>
        </w:rPr>
        <w:t>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　</w:t>
      </w:r>
      <w:r>
        <w:rPr>
          <w:rFonts w:hint="eastAsia" w:ascii="宋体" w:hAnsi="宋体" w:eastAsia="宋体" w:cs="宋体"/>
          <w:i w:val="0"/>
          <w:iCs w:val="0"/>
          <w:caps w:val="0"/>
          <w:color w:val="333333"/>
          <w:spacing w:val="0"/>
          <w:sz w:val="24"/>
          <w:szCs w:val="24"/>
          <w:bdr w:val="none" w:color="auto" w:sz="0" w:space="0"/>
          <w:shd w:val="clear" w:fill="FFFFFF"/>
        </w:rPr>
        <w:t>市(地、州)、县(市、区)人民政府应当组织有关部门按照职责分工对本地区容易发生特大安全事故的单位、设施和场所安全事故的防范明确责任、采取措施，并组织有关部门对上述单位、设施和场所进行严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　</w:t>
      </w:r>
      <w:r>
        <w:rPr>
          <w:rFonts w:hint="eastAsia" w:ascii="宋体" w:hAnsi="宋体" w:eastAsia="宋体" w:cs="宋体"/>
          <w:i w:val="0"/>
          <w:iCs w:val="0"/>
          <w:caps w:val="0"/>
          <w:color w:val="333333"/>
          <w:spacing w:val="0"/>
          <w:sz w:val="24"/>
          <w:szCs w:val="24"/>
          <w:bdr w:val="none" w:color="auto" w:sz="0" w:space="0"/>
          <w:shd w:val="clear" w:fill="FFFFFF"/>
        </w:rPr>
        <w:t>市(地、州)、县(市、区)人民政府必须制定本地区特大安全事故应急处理预案。本地区特大安全事故应急处理预案经政府主要领导人签署后，报上一级人民政府备案。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　</w:t>
      </w:r>
      <w:r>
        <w:rPr>
          <w:rFonts w:hint="eastAsia" w:ascii="宋体" w:hAnsi="宋体" w:eastAsia="宋体" w:cs="宋体"/>
          <w:i w:val="0"/>
          <w:iCs w:val="0"/>
          <w:caps w:val="0"/>
          <w:color w:val="333333"/>
          <w:spacing w:val="0"/>
          <w:sz w:val="24"/>
          <w:szCs w:val="24"/>
          <w:bdr w:val="none" w:color="auto" w:sz="0" w:space="0"/>
          <w:shd w:val="clear" w:fill="FFFFFF"/>
        </w:rPr>
        <w:t>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使用。法律、行政法规对查处机关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　</w:t>
      </w:r>
      <w:r>
        <w:rPr>
          <w:rFonts w:hint="eastAsia" w:ascii="宋体" w:hAnsi="宋体" w:eastAsia="宋体" w:cs="宋体"/>
          <w:i w:val="0"/>
          <w:iCs w:val="0"/>
          <w:caps w:val="0"/>
          <w:color w:val="333333"/>
          <w:spacing w:val="0"/>
          <w:sz w:val="24"/>
          <w:szCs w:val="24"/>
          <w:bdr w:val="none" w:color="auto" w:sz="0" w:space="0"/>
          <w:shd w:val="clear" w:fill="FFFFFF"/>
        </w:rPr>
        <w:t>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　</w:t>
      </w:r>
      <w:r>
        <w:rPr>
          <w:rFonts w:hint="eastAsia" w:ascii="宋体" w:hAnsi="宋体" w:eastAsia="宋体" w:cs="宋体"/>
          <w:i w:val="0"/>
          <w:iCs w:val="0"/>
          <w:caps w:val="0"/>
          <w:color w:val="333333"/>
          <w:spacing w:val="0"/>
          <w:sz w:val="24"/>
          <w:szCs w:val="24"/>
          <w:bdr w:val="none" w:color="auto" w:sz="0" w:space="0"/>
          <w:shd w:val="clear" w:fill="FFFFFF"/>
        </w:rPr>
        <w:t>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中小学校违反本条第一款规定的，对校长给予撤职的行政处分，对直接组织者给予开除公职的行政处分；构成非法制造爆炸物罪或者其他罪的，依法追究刑事责任。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　</w:t>
      </w:r>
      <w:r>
        <w:rPr>
          <w:rFonts w:hint="eastAsia" w:ascii="宋体" w:hAnsi="宋体" w:eastAsia="宋体" w:cs="宋体"/>
          <w:i w:val="0"/>
          <w:iCs w:val="0"/>
          <w:caps w:val="0"/>
          <w:color w:val="333333"/>
          <w:spacing w:val="0"/>
          <w:sz w:val="24"/>
          <w:szCs w:val="24"/>
          <w:bdr w:val="none" w:color="auto" w:sz="0" w:space="0"/>
          <w:shd w:val="clear" w:fill="FFFFFF"/>
        </w:rPr>
        <w:t>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　</w:t>
      </w:r>
      <w:r>
        <w:rPr>
          <w:rFonts w:hint="eastAsia" w:ascii="宋体" w:hAnsi="宋体" w:eastAsia="宋体" w:cs="宋体"/>
          <w:i w:val="0"/>
          <w:iCs w:val="0"/>
          <w:caps w:val="0"/>
          <w:color w:val="333333"/>
          <w:spacing w:val="0"/>
          <w:sz w:val="24"/>
          <w:szCs w:val="24"/>
          <w:bdr w:val="none" w:color="auto" w:sz="0" w:space="0"/>
          <w:shd w:val="clear" w:fill="FFFFFF"/>
        </w:rPr>
        <w:t>对依照本规定第十一条第一款的规定取得批准的单位和个人，负责行政审批的政府部门或者机构必须对其实施严格监督检查；发现其不再具备安全条件的，必须立即撤销原批准。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　</w:t>
      </w:r>
      <w:r>
        <w:rPr>
          <w:rFonts w:hint="eastAsia" w:ascii="宋体" w:hAnsi="宋体" w:eastAsia="宋体" w:cs="宋体"/>
          <w:i w:val="0"/>
          <w:iCs w:val="0"/>
          <w:caps w:val="0"/>
          <w:color w:val="333333"/>
          <w:spacing w:val="0"/>
          <w:sz w:val="24"/>
          <w:szCs w:val="24"/>
          <w:bdr w:val="none" w:color="auto" w:sz="0" w:space="0"/>
          <w:shd w:val="clear" w:fill="FFFFFF"/>
        </w:rPr>
        <w:t>对未依法取得批准，擅自从事有关活动的，负责行政审批的政府部门或者机构发现或者接到举报后，应当立即予以查封、取缔，并依法给予行政处罚；属于经营单位的，由工商行政管理部门依法相应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　</w:t>
      </w:r>
      <w:r>
        <w:rPr>
          <w:rFonts w:hint="eastAsia" w:ascii="宋体" w:hAnsi="宋体" w:eastAsia="宋体" w:cs="宋体"/>
          <w:i w:val="0"/>
          <w:iCs w:val="0"/>
          <w:caps w:val="0"/>
          <w:color w:val="333333"/>
          <w:spacing w:val="0"/>
          <w:sz w:val="24"/>
          <w:szCs w:val="24"/>
          <w:bdr w:val="none" w:color="auto" w:sz="0" w:space="0"/>
          <w:shd w:val="clear" w:fill="FFFFFF"/>
        </w:rPr>
        <w:t>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　</w:t>
      </w:r>
      <w:r>
        <w:rPr>
          <w:rFonts w:hint="eastAsia" w:ascii="宋体" w:hAnsi="宋体" w:eastAsia="宋体" w:cs="宋体"/>
          <w:i w:val="0"/>
          <w:iCs w:val="0"/>
          <w:caps w:val="0"/>
          <w:color w:val="333333"/>
          <w:spacing w:val="0"/>
          <w:sz w:val="24"/>
          <w:szCs w:val="24"/>
          <w:bdr w:val="none" w:color="auto" w:sz="0" w:space="0"/>
          <w:shd w:val="clear" w:fill="FFFFFF"/>
        </w:rPr>
        <w:t>发生特大安全事故，社会影响特别恶劣或者性质特别严重的，由国务院对负有领导责任的省长、自治区主席、直辖市市长和国务院有关部门正职负责人给予行政处分。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　</w:t>
      </w:r>
      <w:r>
        <w:rPr>
          <w:rFonts w:hint="eastAsia" w:ascii="宋体" w:hAnsi="宋体" w:eastAsia="宋体" w:cs="宋体"/>
          <w:i w:val="0"/>
          <w:iCs w:val="0"/>
          <w:caps w:val="0"/>
          <w:color w:val="333333"/>
          <w:spacing w:val="0"/>
          <w:sz w:val="24"/>
          <w:szCs w:val="24"/>
          <w:bdr w:val="none" w:color="auto" w:sz="0" w:space="0"/>
          <w:shd w:val="clear" w:fill="FFFFFF"/>
        </w:rPr>
        <w:t>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特大安全事故发生后，有关地方人民政府及政府有关部门违反前款规定的，对政府主要领导人和政府部门正职负责人给予降级的行政处分。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　</w:t>
      </w:r>
      <w:r>
        <w:rPr>
          <w:rFonts w:hint="eastAsia" w:ascii="宋体" w:hAnsi="宋体" w:eastAsia="宋体" w:cs="宋体"/>
          <w:i w:val="0"/>
          <w:iCs w:val="0"/>
          <w:caps w:val="0"/>
          <w:color w:val="333333"/>
          <w:spacing w:val="0"/>
          <w:sz w:val="24"/>
          <w:szCs w:val="24"/>
          <w:bdr w:val="none" w:color="auto" w:sz="0" w:space="0"/>
          <w:shd w:val="clear" w:fill="FFFFFF"/>
        </w:rPr>
        <w:t>特大安全事故发生后，有关地方人民政府应当迅速组织救助，有关部门应当服从指挥、调度，参加或者配合救助，将事故损失降到最低限度。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　</w:t>
      </w:r>
      <w:r>
        <w:rPr>
          <w:rFonts w:hint="eastAsia" w:ascii="宋体" w:hAnsi="宋体" w:eastAsia="宋体" w:cs="宋体"/>
          <w:i w:val="0"/>
          <w:iCs w:val="0"/>
          <w:caps w:val="0"/>
          <w:color w:val="333333"/>
          <w:spacing w:val="0"/>
          <w:sz w:val="24"/>
          <w:szCs w:val="24"/>
          <w:bdr w:val="none" w:color="auto" w:sz="0" w:space="0"/>
          <w:shd w:val="clear" w:fill="FFFFFF"/>
        </w:rPr>
        <w:t>特大安全事故发生后，省、自治区、直辖市人民政府应当按照国家有关规定迅速、如实发布事故消息。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　</w:t>
      </w:r>
      <w:r>
        <w:rPr>
          <w:rFonts w:hint="eastAsia" w:ascii="宋体" w:hAnsi="宋体" w:eastAsia="宋体" w:cs="宋体"/>
          <w:i w:val="0"/>
          <w:iCs w:val="0"/>
          <w:caps w:val="0"/>
          <w:color w:val="333333"/>
          <w:spacing w:val="0"/>
          <w:sz w:val="24"/>
          <w:szCs w:val="24"/>
          <w:bdr w:val="none" w:color="auto" w:sz="0" w:space="0"/>
          <w:shd w:val="clear" w:fill="FFFFFF"/>
        </w:rPr>
        <w:t>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省、自治区、直辖市人民政府应当自调查报告提交之日起30日内，对有关责任人员作出处理决定；必要时，国务院可以对特大安全事故的有关责任人员作出处理决定。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　</w:t>
      </w:r>
      <w:r>
        <w:rPr>
          <w:rFonts w:hint="eastAsia" w:ascii="宋体" w:hAnsi="宋体" w:eastAsia="宋体" w:cs="宋体"/>
          <w:i w:val="0"/>
          <w:iCs w:val="0"/>
          <w:caps w:val="0"/>
          <w:color w:val="333333"/>
          <w:spacing w:val="0"/>
          <w:sz w:val="24"/>
          <w:szCs w:val="24"/>
          <w:bdr w:val="none" w:color="auto" w:sz="0" w:space="0"/>
          <w:shd w:val="clear" w:fill="FFFFFF"/>
        </w:rPr>
        <w:t>地方人民政府或者政府部门阻挠、干涉对特大安全事故有关责任人员追究行政责任的，对该地方人民政府主要领导人或者政府部门正职负责人，根据情节轻重，给予降级或者撤职的行政处分。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　</w:t>
      </w:r>
      <w:r>
        <w:rPr>
          <w:rFonts w:hint="eastAsia" w:ascii="宋体" w:hAnsi="宋体" w:eastAsia="宋体" w:cs="宋体"/>
          <w:i w:val="0"/>
          <w:iCs w:val="0"/>
          <w:caps w:val="0"/>
          <w:color w:val="333333"/>
          <w:spacing w:val="0"/>
          <w:sz w:val="24"/>
          <w:szCs w:val="24"/>
          <w:bdr w:val="none" w:color="auto" w:sz="0" w:space="0"/>
          <w:shd w:val="clear" w:fill="FFFFFF"/>
        </w:rPr>
        <w:t>任何单位和个人均有权向有关地方人民政府或者政府部门报告特大安全事故隐患，有权向上级人民政府或者政府部门举报地方人民政府或者政府部门不履行安全监督管理职责或者不按照规定履行职责的情况。接到报告或者举报的有关人民政府或者政府部门，应当立即组织对事故隐患进行查处，或者对举报的不履行、不按照规定履行安全监督管理职责的情况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　</w:t>
      </w:r>
      <w:r>
        <w:rPr>
          <w:rFonts w:hint="eastAsia" w:ascii="宋体" w:hAnsi="宋体" w:eastAsia="宋体" w:cs="宋体"/>
          <w:i w:val="0"/>
          <w:iCs w:val="0"/>
          <w:caps w:val="0"/>
          <w:color w:val="333333"/>
          <w:spacing w:val="0"/>
          <w:sz w:val="24"/>
          <w:szCs w:val="24"/>
          <w:bdr w:val="none" w:color="auto" w:sz="0" w:space="0"/>
          <w:shd w:val="clear" w:fill="FFFFFF"/>
        </w:rPr>
        <w:t>监察机关依照行政监察法的规定，对地方各级人民政府和政府部门及其工作人员履行安全监督管理职责实施监察。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　</w:t>
      </w:r>
      <w:r>
        <w:rPr>
          <w:rFonts w:hint="eastAsia" w:ascii="宋体" w:hAnsi="宋体" w:eastAsia="宋体" w:cs="宋体"/>
          <w:i w:val="0"/>
          <w:iCs w:val="0"/>
          <w:caps w:val="0"/>
          <w:color w:val="333333"/>
          <w:spacing w:val="0"/>
          <w:sz w:val="24"/>
          <w:szCs w:val="24"/>
          <w:bdr w:val="none" w:color="auto" w:sz="0" w:space="0"/>
          <w:shd w:val="clear" w:fill="FFFFFF"/>
        </w:rPr>
        <w:t>对特大安全事故以外的其他安全事故的防范、发生追究行政责任的办法，由省、自治区、直辖市人民政府参照本规定制定。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　</w:t>
      </w:r>
      <w:r>
        <w:rPr>
          <w:rFonts w:hint="eastAsia" w:ascii="宋体" w:hAnsi="宋体" w:eastAsia="宋体" w:cs="宋体"/>
          <w:i w:val="0"/>
          <w:iCs w:val="0"/>
          <w:caps w:val="0"/>
          <w:color w:val="333333"/>
          <w:spacing w:val="0"/>
          <w:sz w:val="24"/>
          <w:szCs w:val="24"/>
          <w:bdr w:val="none" w:color="auto" w:sz="0" w:space="0"/>
          <w:shd w:val="clear" w:fill="FFFFFF"/>
        </w:rPr>
        <w:t>本规定自公布之日起施行。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61FC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2023-06-13T05:59:53Z</dcterms:created>
  <dc:creator>Administrator</dc:creator>
  <cp:lastModifiedBy>Administrator</cp:lastModifiedBy>
  <dcterms:modified xsi:type="dcterms:W3CDTF">2023-06-13T06:01:50Z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AA1FFF85879341FDA8AEBBEEFF11CD45_12</vt:lpwstr>
  </property>
</Properties>
</file>